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C4" w:rsidRDefault="003A55C4" w:rsidP="00674AE3">
      <w:pPr>
        <w:jc w:val="both"/>
        <w:rPr>
          <w:rFonts w:ascii="Arial" w:hAnsi="Arial" w:cs="Arial"/>
          <w:sz w:val="24"/>
          <w:szCs w:val="24"/>
        </w:rPr>
      </w:pPr>
    </w:p>
    <w:p w:rsidR="003A55C4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7A4">
        <w:rPr>
          <w:rFonts w:ascii="Arial" w:hAnsi="Arial" w:cs="Arial"/>
          <w:sz w:val="24"/>
          <w:szCs w:val="24"/>
        </w:rPr>
        <w:t>Aos</w:t>
      </w:r>
      <w:r w:rsidR="00944094">
        <w:rPr>
          <w:rFonts w:ascii="Arial" w:hAnsi="Arial" w:cs="Arial"/>
          <w:sz w:val="24"/>
          <w:szCs w:val="24"/>
        </w:rPr>
        <w:t xml:space="preserve"> dez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944094">
        <w:rPr>
          <w:rFonts w:ascii="Arial" w:hAnsi="Arial" w:cs="Arial"/>
          <w:sz w:val="24"/>
          <w:szCs w:val="24"/>
        </w:rPr>
        <w:t>Abril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7A56F4">
        <w:rPr>
          <w:rFonts w:ascii="Arial" w:hAnsi="Arial" w:cs="Arial"/>
          <w:sz w:val="24"/>
          <w:szCs w:val="24"/>
        </w:rPr>
        <w:t>dezoito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EE3BB2">
        <w:rPr>
          <w:rFonts w:ascii="Arial" w:hAnsi="Arial" w:cs="Arial"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</w:t>
      </w:r>
      <w:r w:rsidR="008308C1">
        <w:rPr>
          <w:rFonts w:ascii="Arial" w:hAnsi="Arial" w:cs="Arial"/>
          <w:sz w:val="24"/>
          <w:szCs w:val="24"/>
        </w:rPr>
        <w:t xml:space="preserve"> n</w:t>
      </w:r>
      <w:r w:rsidR="003A2956" w:rsidRPr="007337A4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944094" w:rsidRPr="00944094">
        <w:rPr>
          <w:rFonts w:ascii="Arial" w:hAnsi="Arial" w:cs="Arial"/>
          <w:b/>
          <w:sz w:val="24"/>
          <w:szCs w:val="24"/>
        </w:rPr>
        <w:t>MARÇO</w:t>
      </w:r>
      <w:r w:rsidR="007A56F4">
        <w:rPr>
          <w:rFonts w:ascii="Arial" w:hAnsi="Arial" w:cs="Arial"/>
          <w:b/>
          <w:sz w:val="24"/>
          <w:szCs w:val="24"/>
        </w:rPr>
        <w:t>/2018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381408">
        <w:rPr>
          <w:rFonts w:ascii="Arial" w:hAnsi="Arial" w:cs="Arial"/>
          <w:b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381408">
        <w:rPr>
          <w:rFonts w:ascii="Arial" w:hAnsi="Arial" w:cs="Arial"/>
          <w:b/>
          <w:sz w:val="24"/>
          <w:szCs w:val="24"/>
        </w:rPr>
        <w:t>R$</w:t>
      </w:r>
      <w:r w:rsidR="003102F1" w:rsidRPr="00381408">
        <w:rPr>
          <w:rFonts w:ascii="Arial" w:hAnsi="Arial" w:cs="Arial"/>
          <w:b/>
          <w:sz w:val="24"/>
          <w:szCs w:val="24"/>
        </w:rPr>
        <w:t xml:space="preserve"> </w:t>
      </w:r>
      <w:r w:rsidR="008F35CB">
        <w:rPr>
          <w:rFonts w:ascii="Arial" w:hAnsi="Arial" w:cs="Arial"/>
          <w:b/>
          <w:sz w:val="24"/>
          <w:szCs w:val="24"/>
        </w:rPr>
        <w:t>3.</w:t>
      </w:r>
      <w:r w:rsidR="00944094">
        <w:rPr>
          <w:rFonts w:ascii="Arial" w:hAnsi="Arial" w:cs="Arial"/>
          <w:b/>
          <w:sz w:val="24"/>
          <w:szCs w:val="24"/>
        </w:rPr>
        <w:t>181.835,54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8F35CB">
        <w:rPr>
          <w:rFonts w:ascii="Arial" w:hAnsi="Arial" w:cs="Arial"/>
          <w:sz w:val="24"/>
          <w:szCs w:val="24"/>
        </w:rPr>
        <w:t>1</w:t>
      </w:r>
      <w:r w:rsidR="00944094">
        <w:rPr>
          <w:rFonts w:ascii="Arial" w:hAnsi="Arial" w:cs="Arial"/>
          <w:sz w:val="24"/>
          <w:szCs w:val="24"/>
        </w:rPr>
        <w:t>0</w:t>
      </w:r>
      <w:r w:rsidR="008F35CB">
        <w:rPr>
          <w:rFonts w:ascii="Arial" w:hAnsi="Arial" w:cs="Arial"/>
          <w:sz w:val="24"/>
          <w:szCs w:val="24"/>
        </w:rPr>
        <w:t>,</w:t>
      </w:r>
      <w:r w:rsidR="00944094">
        <w:rPr>
          <w:rFonts w:ascii="Arial" w:hAnsi="Arial" w:cs="Arial"/>
          <w:sz w:val="24"/>
          <w:szCs w:val="24"/>
        </w:rPr>
        <w:t>93</w:t>
      </w:r>
      <w:r w:rsidR="00F33B64" w:rsidRPr="006E0B8C">
        <w:rPr>
          <w:rFonts w:ascii="Arial" w:hAnsi="Arial" w:cs="Arial"/>
          <w:sz w:val="24"/>
          <w:szCs w:val="24"/>
        </w:rPr>
        <w:t>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381408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381408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381408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E20EDD">
        <w:rPr>
          <w:rFonts w:ascii="Arial" w:hAnsi="Arial" w:cs="Arial"/>
          <w:sz w:val="24"/>
          <w:szCs w:val="24"/>
        </w:rPr>
        <w:t>R$</w:t>
      </w:r>
      <w:r w:rsidR="00C907F9" w:rsidRPr="00EE3BB2">
        <w:rPr>
          <w:rFonts w:ascii="Arial" w:hAnsi="Arial" w:cs="Arial"/>
          <w:sz w:val="24"/>
          <w:szCs w:val="24"/>
        </w:rPr>
        <w:t xml:space="preserve"> </w:t>
      </w:r>
      <w:r w:rsidR="008F35CB">
        <w:rPr>
          <w:rFonts w:ascii="Arial" w:hAnsi="Arial" w:cs="Arial"/>
          <w:sz w:val="24"/>
          <w:szCs w:val="24"/>
        </w:rPr>
        <w:t>10.</w:t>
      </w:r>
      <w:r w:rsidR="00944094">
        <w:rPr>
          <w:rFonts w:ascii="Arial" w:hAnsi="Arial" w:cs="Arial"/>
          <w:sz w:val="24"/>
          <w:szCs w:val="24"/>
        </w:rPr>
        <w:t>524.921,63</w:t>
      </w:r>
      <w:r w:rsidR="00432224" w:rsidRPr="00E20EDD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944094">
        <w:rPr>
          <w:rFonts w:ascii="Arial" w:hAnsi="Arial" w:cs="Arial"/>
          <w:sz w:val="24"/>
          <w:szCs w:val="24"/>
        </w:rPr>
        <w:t>36,16</w:t>
      </w:r>
      <w:r w:rsidR="00F33B64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381408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E20EDD">
        <w:rPr>
          <w:rFonts w:ascii="Arial" w:hAnsi="Arial" w:cs="Arial"/>
          <w:sz w:val="24"/>
          <w:szCs w:val="24"/>
        </w:rPr>
        <w:t>R$</w:t>
      </w:r>
      <w:r w:rsidR="003152EB" w:rsidRPr="00EE3BB2">
        <w:rPr>
          <w:rFonts w:ascii="Arial" w:hAnsi="Arial" w:cs="Arial"/>
          <w:sz w:val="24"/>
          <w:szCs w:val="24"/>
        </w:rPr>
        <w:t xml:space="preserve"> </w:t>
      </w:r>
      <w:r w:rsidR="008F35CB">
        <w:rPr>
          <w:rFonts w:ascii="Arial" w:hAnsi="Arial" w:cs="Arial"/>
          <w:sz w:val="24"/>
          <w:szCs w:val="24"/>
        </w:rPr>
        <w:t>4.</w:t>
      </w:r>
      <w:r w:rsidR="00944094">
        <w:rPr>
          <w:rFonts w:ascii="Arial" w:hAnsi="Arial" w:cs="Arial"/>
          <w:sz w:val="24"/>
          <w:szCs w:val="24"/>
        </w:rPr>
        <w:t>723.242,19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8F35CB">
        <w:rPr>
          <w:rFonts w:ascii="Arial" w:hAnsi="Arial" w:cs="Arial"/>
          <w:sz w:val="24"/>
          <w:szCs w:val="24"/>
        </w:rPr>
        <w:t>16,</w:t>
      </w:r>
      <w:r w:rsidR="00944094">
        <w:rPr>
          <w:rFonts w:ascii="Arial" w:hAnsi="Arial" w:cs="Arial"/>
          <w:sz w:val="24"/>
          <w:szCs w:val="24"/>
        </w:rPr>
        <w:t>23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EE3BB2">
        <w:rPr>
          <w:rFonts w:ascii="Arial" w:hAnsi="Arial" w:cs="Arial"/>
          <w:sz w:val="24"/>
          <w:szCs w:val="24"/>
        </w:rPr>
        <w:t xml:space="preserve">BB Previdenciário RF IDKA </w:t>
      </w:r>
      <w:proofErr w:type="gramStart"/>
      <w:r w:rsidR="009821A7" w:rsidRPr="00EE3BB2">
        <w:rPr>
          <w:rFonts w:ascii="Arial" w:hAnsi="Arial" w:cs="Arial"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944094">
        <w:rPr>
          <w:rFonts w:ascii="Arial" w:hAnsi="Arial" w:cs="Arial"/>
          <w:b/>
          <w:sz w:val="24"/>
          <w:szCs w:val="24"/>
        </w:rPr>
        <w:t>4.039.158,82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8F35CB">
        <w:rPr>
          <w:rFonts w:ascii="Arial" w:hAnsi="Arial" w:cs="Arial"/>
          <w:sz w:val="24"/>
          <w:szCs w:val="24"/>
        </w:rPr>
        <w:t>13,</w:t>
      </w:r>
      <w:r w:rsidR="00944094">
        <w:rPr>
          <w:rFonts w:ascii="Arial" w:hAnsi="Arial" w:cs="Arial"/>
          <w:sz w:val="24"/>
          <w:szCs w:val="24"/>
        </w:rPr>
        <w:t>88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9821A7" w:rsidRPr="007337A4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AF1204">
        <w:rPr>
          <w:rFonts w:ascii="Arial" w:hAnsi="Arial" w:cs="Arial"/>
          <w:sz w:val="24"/>
          <w:szCs w:val="24"/>
        </w:rPr>
        <w:t xml:space="preserve"> Assim, t</w:t>
      </w:r>
      <w:r w:rsidR="009821A7" w:rsidRPr="007337A4">
        <w:rPr>
          <w:rFonts w:ascii="Arial" w:hAnsi="Arial" w:cs="Arial"/>
          <w:sz w:val="24"/>
          <w:szCs w:val="24"/>
        </w:rPr>
        <w:t xml:space="preserve">otalizaram o percentual de </w:t>
      </w:r>
      <w:r w:rsidR="008F35CB">
        <w:rPr>
          <w:rFonts w:ascii="Arial" w:hAnsi="Arial" w:cs="Arial"/>
          <w:sz w:val="24"/>
          <w:szCs w:val="24"/>
        </w:rPr>
        <w:t>7</w:t>
      </w:r>
      <w:r w:rsidR="00944094">
        <w:rPr>
          <w:rFonts w:ascii="Arial" w:hAnsi="Arial" w:cs="Arial"/>
          <w:sz w:val="24"/>
          <w:szCs w:val="24"/>
        </w:rPr>
        <w:t>7</w:t>
      </w:r>
      <w:r w:rsidR="008F35CB">
        <w:rPr>
          <w:rFonts w:ascii="Arial" w:hAnsi="Arial" w:cs="Arial"/>
          <w:sz w:val="24"/>
          <w:szCs w:val="24"/>
        </w:rPr>
        <w:t>,1</w:t>
      </w:r>
      <w:r w:rsidR="00944094">
        <w:rPr>
          <w:rFonts w:ascii="Arial" w:hAnsi="Arial" w:cs="Arial"/>
          <w:sz w:val="24"/>
          <w:szCs w:val="24"/>
        </w:rPr>
        <w:t>9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E3BB2">
        <w:rPr>
          <w:rFonts w:ascii="Arial" w:hAnsi="Arial" w:cs="Arial"/>
          <w:b/>
          <w:sz w:val="24"/>
          <w:szCs w:val="24"/>
        </w:rPr>
        <w:t>R$</w:t>
      </w:r>
      <w:r w:rsidR="007A56F4">
        <w:rPr>
          <w:rFonts w:ascii="Arial" w:hAnsi="Arial" w:cs="Arial"/>
          <w:b/>
          <w:sz w:val="24"/>
          <w:szCs w:val="24"/>
        </w:rPr>
        <w:t xml:space="preserve"> </w:t>
      </w:r>
      <w:r w:rsidR="00944094">
        <w:rPr>
          <w:rFonts w:ascii="Arial" w:hAnsi="Arial" w:cs="Arial"/>
          <w:b/>
          <w:sz w:val="24"/>
          <w:szCs w:val="24"/>
        </w:rPr>
        <w:t>22.469.158,19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C8309C">
        <w:rPr>
          <w:rFonts w:ascii="Arial" w:hAnsi="Arial" w:cs="Arial"/>
          <w:sz w:val="24"/>
          <w:szCs w:val="24"/>
        </w:rPr>
        <w:t>P</w:t>
      </w:r>
      <w:r w:rsidR="00330675" w:rsidRPr="00C8309C">
        <w:rPr>
          <w:rFonts w:ascii="Arial" w:hAnsi="Arial" w:cs="Arial"/>
          <w:sz w:val="24"/>
          <w:szCs w:val="24"/>
        </w:rPr>
        <w:t xml:space="preserve">or conseguinte, </w:t>
      </w:r>
      <w:r w:rsidR="00DA6760" w:rsidRPr="00C8309C">
        <w:rPr>
          <w:rFonts w:ascii="Arial" w:hAnsi="Arial" w:cs="Arial"/>
          <w:sz w:val="24"/>
          <w:szCs w:val="24"/>
        </w:rPr>
        <w:t>a</w:t>
      </w:r>
      <w:r w:rsidR="00330675" w:rsidRPr="00C8309C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C8309C">
        <w:rPr>
          <w:rFonts w:ascii="Arial" w:hAnsi="Arial" w:cs="Arial"/>
          <w:sz w:val="24"/>
          <w:szCs w:val="24"/>
        </w:rPr>
        <w:t>VALORES FIC RF R DI</w:t>
      </w:r>
      <w:r w:rsidR="00381408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7A56F4">
        <w:rPr>
          <w:rFonts w:ascii="Arial" w:hAnsi="Arial" w:cs="Arial"/>
          <w:b/>
          <w:sz w:val="24"/>
          <w:szCs w:val="24"/>
        </w:rPr>
        <w:t xml:space="preserve">R$ </w:t>
      </w:r>
      <w:r w:rsidR="00944094">
        <w:rPr>
          <w:rFonts w:ascii="Arial" w:hAnsi="Arial" w:cs="Arial"/>
          <w:b/>
          <w:sz w:val="24"/>
          <w:szCs w:val="24"/>
        </w:rPr>
        <w:t>950.780,43</w:t>
      </w:r>
      <w:r w:rsidR="00210AA0" w:rsidRPr="00C8309C">
        <w:rPr>
          <w:rFonts w:ascii="Arial" w:hAnsi="Arial" w:cs="Arial"/>
          <w:sz w:val="24"/>
          <w:szCs w:val="24"/>
        </w:rPr>
        <w:t xml:space="preserve">, </w:t>
      </w:r>
      <w:r w:rsidR="008F35CB">
        <w:rPr>
          <w:rFonts w:ascii="Arial" w:hAnsi="Arial" w:cs="Arial"/>
          <w:sz w:val="24"/>
          <w:szCs w:val="24"/>
        </w:rPr>
        <w:t>O</w:t>
      </w:r>
      <w:r w:rsidR="00210AA0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C8309C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C8309C">
        <w:rPr>
          <w:rFonts w:ascii="Arial" w:hAnsi="Arial" w:cs="Arial"/>
          <w:sz w:val="24"/>
          <w:szCs w:val="24"/>
        </w:rPr>
        <w:t>.</w:t>
      </w:r>
      <w:r w:rsidR="00330675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Fundo CAIXA ALIANÇA Tít. Pub. RF</w:t>
      </w:r>
      <w:proofErr w:type="gramStart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944094">
        <w:rPr>
          <w:rFonts w:ascii="Arial" w:hAnsi="Arial" w:cs="Arial"/>
          <w:b/>
          <w:color w:val="000000" w:themeColor="text1"/>
          <w:sz w:val="24"/>
          <w:szCs w:val="24"/>
        </w:rPr>
        <w:t>4.831.477,32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944094">
        <w:rPr>
          <w:rFonts w:ascii="Arial" w:hAnsi="Arial" w:cs="Arial"/>
          <w:color w:val="000000" w:themeColor="text1"/>
          <w:sz w:val="24"/>
          <w:szCs w:val="24"/>
        </w:rPr>
        <w:t>16,60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.  E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Quanto ao FUNDO CAIXA RIO BRAVO F II, (enq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>
        <w:rPr>
          <w:rFonts w:ascii="Arial" w:hAnsi="Arial" w:cs="Arial"/>
          <w:color w:val="000000" w:themeColor="text1"/>
          <w:sz w:val="24"/>
          <w:szCs w:val="24"/>
        </w:rPr>
        <w:t>R$ 464.000,00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944094">
        <w:rPr>
          <w:rFonts w:ascii="Arial" w:hAnsi="Arial" w:cs="Arial"/>
          <w:color w:val="000000" w:themeColor="text1"/>
          <w:sz w:val="24"/>
          <w:szCs w:val="24"/>
        </w:rPr>
        <w:t>1,59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, observado o limite de alocação de 5%.</w:t>
      </w:r>
      <w:r w:rsidR="002A0EBF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fundo CAIXA</w:t>
      </w:r>
      <w:proofErr w:type="gramStart"/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8F35CB">
        <w:rPr>
          <w:rFonts w:ascii="Arial" w:hAnsi="Arial" w:cs="Arial"/>
          <w:color w:val="000000" w:themeColor="text1"/>
          <w:sz w:val="24"/>
          <w:szCs w:val="24"/>
        </w:rPr>
        <w:t>FIC CAP PROT BRASIL IBOV II MUL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, vem diversificar a carteira conforme proposto pela Consultoria de Investimento, bem como, respeitando a política de investimento para 2018, o fundo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fechou o mês com R$</w:t>
      </w:r>
      <w:r w:rsidR="0085576B">
        <w:rPr>
          <w:rFonts w:ascii="Arial" w:hAnsi="Arial" w:cs="Arial"/>
          <w:color w:val="000000" w:themeColor="text1"/>
          <w:sz w:val="24"/>
          <w:szCs w:val="24"/>
        </w:rPr>
        <w:t xml:space="preserve"> 392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.</w:t>
      </w:r>
      <w:r w:rsidR="0085576B">
        <w:rPr>
          <w:rFonts w:ascii="Arial" w:hAnsi="Arial" w:cs="Arial"/>
          <w:color w:val="000000" w:themeColor="text1"/>
          <w:sz w:val="24"/>
          <w:szCs w:val="24"/>
        </w:rPr>
        <w:t>569,82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 xml:space="preserve"> e percentual de 1,3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5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A2956" w:rsidRPr="00AE2E46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EE3BB2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2AE3" w:rsidRPr="00944094">
        <w:rPr>
          <w:rFonts w:ascii="Arial" w:hAnsi="Arial" w:cs="Arial"/>
          <w:b/>
          <w:sz w:val="24"/>
          <w:szCs w:val="24"/>
        </w:rPr>
        <w:t>MARÇO</w:t>
      </w:r>
      <w:r w:rsidR="009A2AE3">
        <w:rPr>
          <w:rFonts w:ascii="Arial" w:hAnsi="Arial" w:cs="Arial"/>
          <w:b/>
          <w:sz w:val="24"/>
          <w:szCs w:val="24"/>
        </w:rPr>
        <w:t>:</w:t>
      </w:r>
      <w:r w:rsidR="00800F93" w:rsidRPr="009A2A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152EB" w:rsidRPr="009A2AE3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3152EB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="0085576B">
        <w:rPr>
          <w:rFonts w:ascii="Arial" w:hAnsi="Arial" w:cs="Arial"/>
          <w:b/>
          <w:color w:val="000000" w:themeColor="text1"/>
          <w:sz w:val="24"/>
          <w:szCs w:val="24"/>
        </w:rPr>
        <w:t>29.107.985,75</w:t>
      </w:r>
      <w:r w:rsidR="00C30C7A" w:rsidRPr="0086592C">
        <w:rPr>
          <w:rFonts w:ascii="Arial" w:hAnsi="Arial" w:cs="Arial"/>
          <w:color w:val="000000" w:themeColor="text1"/>
          <w:sz w:val="24"/>
          <w:szCs w:val="24"/>
        </w:rPr>
        <w:t>.</w:t>
      </w:r>
      <w:r w:rsidR="0086592C" w:rsidRPr="0086592C">
        <w:rPr>
          <w:rFonts w:ascii="Arial" w:hAnsi="Arial" w:cs="Arial"/>
          <w:color w:val="000000" w:themeColor="text1"/>
          <w:sz w:val="24"/>
          <w:szCs w:val="24"/>
        </w:rPr>
        <w:t xml:space="preserve"> Este mês de março nos trouxe exemplo real do que conhecemos na literatura de análise de investimentos, e nos cursos preparatórios a certificação, do risco de mercado externo. A definição deste risco nos traz que são ações, atitudes de outros governos, instituições de alcance mundial, ou que envolvam a geopolítica mundial que trazem volatilidades aos mercados globais ou a um mercado doméstico específico. Estamos nos referindo a ações protecionistas adotadas pelo Governo dos Estados Unidos que impuseram barreiras tributárias a determinados produtos importados por aquele país. Elas começaram a ser anunciadas no final de fevereiro e, ao longo de março passaram a ser detalhadas e melhor avaliadas pelos analistas quanto a sua dimensão e extensão pelo mundo. No caso brasileiro, o mercado de capitais</w:t>
      </w:r>
      <w:proofErr w:type="gramStart"/>
      <w:r w:rsidR="0086592C" w:rsidRPr="0086592C">
        <w:rPr>
          <w:rFonts w:ascii="Arial" w:hAnsi="Arial" w:cs="Arial"/>
          <w:color w:val="000000" w:themeColor="text1"/>
          <w:sz w:val="24"/>
          <w:szCs w:val="24"/>
        </w:rPr>
        <w:t>, foi</w:t>
      </w:r>
      <w:proofErr w:type="gramEnd"/>
      <w:r w:rsidR="0086592C" w:rsidRPr="0086592C">
        <w:rPr>
          <w:rFonts w:ascii="Arial" w:hAnsi="Arial" w:cs="Arial"/>
          <w:color w:val="000000" w:themeColor="text1"/>
          <w:sz w:val="24"/>
          <w:szCs w:val="24"/>
        </w:rPr>
        <w:t xml:space="preserve"> o mais atingido. Inicialmente, as barreiras anunciadas foram sobre o aço importado, pelos Estados Unidos, visando proteger as vendas e empregos d</w:t>
      </w:r>
      <w:r w:rsidR="003A55C4">
        <w:rPr>
          <w:rFonts w:ascii="Arial" w:hAnsi="Arial" w:cs="Arial"/>
          <w:color w:val="000000" w:themeColor="text1"/>
          <w:sz w:val="24"/>
          <w:szCs w:val="24"/>
        </w:rPr>
        <w:t xml:space="preserve">o parque siderúrgico americano. </w:t>
      </w:r>
      <w:r w:rsidR="0086592C" w:rsidRPr="0086592C">
        <w:rPr>
          <w:rFonts w:ascii="Arial" w:hAnsi="Arial" w:cs="Arial"/>
          <w:color w:val="000000" w:themeColor="text1"/>
          <w:sz w:val="24"/>
          <w:szCs w:val="24"/>
        </w:rPr>
        <w:t xml:space="preserve">Como algumas siderúrgicas brasileiras, com ações negociadas na B3, </w:t>
      </w:r>
      <w:proofErr w:type="gramStart"/>
      <w:r w:rsidR="0086592C" w:rsidRPr="0086592C">
        <w:rPr>
          <w:rFonts w:ascii="Arial" w:hAnsi="Arial" w:cs="Arial"/>
          <w:color w:val="000000" w:themeColor="text1"/>
          <w:sz w:val="24"/>
          <w:szCs w:val="24"/>
        </w:rPr>
        <w:t>tem</w:t>
      </w:r>
      <w:proofErr w:type="gramEnd"/>
      <w:r w:rsidR="0086592C" w:rsidRPr="0086592C">
        <w:rPr>
          <w:rFonts w:ascii="Arial" w:hAnsi="Arial" w:cs="Arial"/>
          <w:color w:val="000000" w:themeColor="text1"/>
          <w:sz w:val="24"/>
          <w:szCs w:val="24"/>
        </w:rPr>
        <w:t xml:space="preserve"> no mercado americano um grande comprador, suas cotações sofreram desvalorizações significativas assim como as cotas de fundos de investimentos com estas ações em suas carteiras. </w:t>
      </w:r>
    </w:p>
    <w:p w:rsidR="003A55C4" w:rsidRDefault="003A55C4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55C4" w:rsidRDefault="003A55C4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AE3" w:rsidRPr="00AE2E46" w:rsidRDefault="0086592C" w:rsidP="00674AE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Ao longo de março </w:t>
      </w:r>
      <w:proofErr w:type="gramStart"/>
      <w:r w:rsidRPr="0086592C">
        <w:rPr>
          <w:rFonts w:ascii="Arial" w:hAnsi="Arial" w:cs="Arial"/>
          <w:color w:val="000000" w:themeColor="text1"/>
          <w:sz w:val="24"/>
          <w:szCs w:val="24"/>
        </w:rPr>
        <w:t>foram</w:t>
      </w:r>
      <w:proofErr w:type="gramEnd"/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 precificados, nos ativos, a possibilidade de uma “guerra comercial global” com os países mais atingidos também buscando o caminho do protecionismo para seus segmentos econômicos e, em parte, como retaliação, a importação de produtos norte-americanos. Diante do tamanho da economia americana e sua respectiva elevada participação no total do comércio mundial, justifica a depreciação que os mercados sofreram</w:t>
      </w:r>
      <w:proofErr w:type="gramStart"/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 pois</w:t>
      </w:r>
      <w:proofErr w:type="gramEnd"/>
      <w:r w:rsidRPr="0086592C">
        <w:rPr>
          <w:rFonts w:ascii="Arial" w:hAnsi="Arial" w:cs="Arial"/>
          <w:color w:val="000000" w:themeColor="text1"/>
          <w:sz w:val="24"/>
          <w:szCs w:val="24"/>
        </w:rPr>
        <w:t>, como se diz, “sabe-se quando e como uma guerra comercial se inicia, mas nunca quando e como ela termina....”</w:t>
      </w:r>
      <w:r w:rsidR="003A55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592C">
        <w:rPr>
          <w:rFonts w:ascii="Arial" w:hAnsi="Arial" w:cs="Arial"/>
          <w:color w:val="000000" w:themeColor="text1"/>
          <w:sz w:val="24"/>
          <w:szCs w:val="24"/>
        </w:rPr>
        <w:t>Após o 12º corte seguido da Taxa SELIC seu patamar atingiu a marca de 6,5% ao ano. Este é o menor nível histórico da taxa básica de juros da economia brasileira e se encontra em perspectiva de ainda ser reduzido na próxima reunião do COPOM, diante do cenário de manutenção dos baixos valores para o IPCA (inflação). A busca da autoridade monetária é pelo chamado “juro neutro” ou “juro de equilíbrio” que é aquele nível em que a Taxa SELIC não controla nem influencia a inflação, permitindo a sua estabilidade e continuidade para que os agentes econômicos possam tomar suas decisões com mais segurança e em maiores prazos.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No mês de março o Banco Central, como autoridade monetária, utilizou um de seus instrumentos clássicos visando incrementar a atividade econômica: o depósito compulsório. Trata-se, como o nome sugere, da obrigatoriedade que um percentual dos depósitos a vista e a prazo do sistema bancário sejam retirados de circulação e depositados junto ao BC. Ao reduzir este percentual, o sistema bancário pode reduzir seus spreads, bem como ter maior volume de recursos para empréstimos. Como o crédito é um dos “combustíveis de uma economia” tal medida visa fomentar a atividade econômica. A redução foi de </w:t>
      </w:r>
      <w:proofErr w:type="gramStart"/>
      <w:r w:rsidRPr="0086592C">
        <w:rPr>
          <w:rFonts w:ascii="Arial" w:hAnsi="Arial" w:cs="Arial"/>
          <w:color w:val="000000" w:themeColor="text1"/>
          <w:sz w:val="24"/>
          <w:szCs w:val="24"/>
        </w:rPr>
        <w:t>40 para 25%, o</w:t>
      </w:r>
      <w:proofErr w:type="gramEnd"/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 que representa uma disponibilização, a partir de Abril, de mais de R$ 25 bilhões no sistema bancário. Acreditamos que esta medida, acrescida da política de redução de juros, leva um tempo para a sua efetiva atuação sobre o cenário macroeconômico</w:t>
      </w:r>
      <w:proofErr w:type="gramStart"/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 mas</w:t>
      </w:r>
      <w:proofErr w:type="gramEnd"/>
      <w:r w:rsidRPr="0086592C">
        <w:rPr>
          <w:rFonts w:ascii="Arial" w:hAnsi="Arial" w:cs="Arial"/>
          <w:color w:val="000000" w:themeColor="text1"/>
          <w:sz w:val="24"/>
          <w:szCs w:val="24"/>
        </w:rPr>
        <w:t>, de qualquer forma, um efeito positivo para o crescimento.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O término do mês de março também completa o 1º trimestre de 2018. Podemos então fazer um balanço do comportamento dos principais índices que regem </w:t>
      </w:r>
      <w:proofErr w:type="gramStart"/>
      <w:r w:rsidRPr="0086592C">
        <w:rPr>
          <w:rFonts w:ascii="Arial" w:hAnsi="Arial" w:cs="Arial"/>
          <w:color w:val="000000" w:themeColor="text1"/>
          <w:sz w:val="24"/>
          <w:szCs w:val="24"/>
        </w:rPr>
        <w:t>os mercados financeiro</w:t>
      </w:r>
      <w:proofErr w:type="gramEnd"/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 e de capitais. O IBOVESPA apresentou um comportamento mais estável em relação aos demais índices de ações de outras nações. Este índice encerrou o 1º trimestre aos 85.365 pontos com uma valorização de 11,73% que, por si só já é superior </w:t>
      </w:r>
      <w:proofErr w:type="gramStart"/>
      <w:r w:rsidRPr="0086592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86592C">
        <w:rPr>
          <w:rFonts w:ascii="Arial" w:hAnsi="Arial" w:cs="Arial"/>
          <w:color w:val="000000" w:themeColor="text1"/>
          <w:sz w:val="24"/>
          <w:szCs w:val="24"/>
        </w:rPr>
        <w:t xml:space="preserve"> meta atuarial projetada para todo o ano quando composta pelo IPCA. </w:t>
      </w:r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  <w:r w:rsidR="00A977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34333" w:rsidRPr="00206B54" w:rsidRDefault="00434333" w:rsidP="003A55C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434333" w:rsidRPr="00206B54" w:rsidRDefault="00434333" w:rsidP="003A55C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AB4C4B" w:rsidP="003A55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9FA" w:rsidRDefault="00C349D8" w:rsidP="003A5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943C61" w:rsidRDefault="00943C61" w:rsidP="003A55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D" w:rsidRDefault="006249FA" w:rsidP="003A5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 xml:space="preserve">Michele </w:t>
      </w:r>
      <w:bookmarkEnd w:id="0"/>
      <w:r>
        <w:rPr>
          <w:rFonts w:ascii="Arial" w:hAnsi="Arial" w:cs="Arial"/>
          <w:sz w:val="24"/>
          <w:szCs w:val="24"/>
        </w:rPr>
        <w:t>Oliveira Sampaio</w:t>
      </w:r>
    </w:p>
    <w:sectPr w:rsidR="005D244D" w:rsidSect="003A55C4">
      <w:pgSz w:w="11906" w:h="16838"/>
      <w:pgMar w:top="1560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3771E"/>
    <w:rsid w:val="00341AF0"/>
    <w:rsid w:val="00347A46"/>
    <w:rsid w:val="00354DF4"/>
    <w:rsid w:val="00367B46"/>
    <w:rsid w:val="00381408"/>
    <w:rsid w:val="00384CF8"/>
    <w:rsid w:val="003863B5"/>
    <w:rsid w:val="00394F76"/>
    <w:rsid w:val="003A24DD"/>
    <w:rsid w:val="003A2956"/>
    <w:rsid w:val="003A53F1"/>
    <w:rsid w:val="003A55C4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5E6907"/>
    <w:rsid w:val="0060670E"/>
    <w:rsid w:val="00606C15"/>
    <w:rsid w:val="00617FEA"/>
    <w:rsid w:val="006249FA"/>
    <w:rsid w:val="00632A62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E0B8C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3C96"/>
    <w:rsid w:val="00882B14"/>
    <w:rsid w:val="008C1DF2"/>
    <w:rsid w:val="008C6AB2"/>
    <w:rsid w:val="008D1424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4094"/>
    <w:rsid w:val="00956FC1"/>
    <w:rsid w:val="009578E8"/>
    <w:rsid w:val="009647B3"/>
    <w:rsid w:val="009821A7"/>
    <w:rsid w:val="0098439C"/>
    <w:rsid w:val="00987A6B"/>
    <w:rsid w:val="00994191"/>
    <w:rsid w:val="009A2AE3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0C7A"/>
    <w:rsid w:val="00C349D8"/>
    <w:rsid w:val="00C36E4B"/>
    <w:rsid w:val="00C5452E"/>
    <w:rsid w:val="00C60F7F"/>
    <w:rsid w:val="00C62091"/>
    <w:rsid w:val="00C6768A"/>
    <w:rsid w:val="00C710B5"/>
    <w:rsid w:val="00C81CD8"/>
    <w:rsid w:val="00C8309C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A5BEA"/>
    <w:rsid w:val="00DA5EE5"/>
    <w:rsid w:val="00DA6760"/>
    <w:rsid w:val="00DC102F"/>
    <w:rsid w:val="00DC4708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5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5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E8E1-980D-48D6-869C-43A3AA63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23</cp:revision>
  <cp:lastPrinted>2018-07-26T17:30:00Z</cp:lastPrinted>
  <dcterms:created xsi:type="dcterms:W3CDTF">2017-12-22T19:07:00Z</dcterms:created>
  <dcterms:modified xsi:type="dcterms:W3CDTF">2018-07-26T17:31:00Z</dcterms:modified>
</cp:coreProperties>
</file>